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37" w:rsidRPr="00A54EDE" w:rsidRDefault="00893E37" w:rsidP="00893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A54EDE">
        <w:rPr>
          <w:sz w:val="28"/>
          <w:szCs w:val="28"/>
          <w:lang w:val="en-US"/>
        </w:rPr>
        <w:t xml:space="preserve"> </w:t>
      </w:r>
      <w:r w:rsidR="00A54EDE">
        <w:rPr>
          <w:sz w:val="28"/>
          <w:szCs w:val="28"/>
          <w:lang w:val="uk-UA"/>
        </w:rPr>
        <w:t>№ 1</w:t>
      </w:r>
      <w:bookmarkStart w:id="0" w:name="_GoBack"/>
      <w:bookmarkEnd w:id="0"/>
    </w:p>
    <w:p w:rsidR="00893E37" w:rsidRPr="009120AF" w:rsidRDefault="00893E37" w:rsidP="00AE6E78">
      <w:pPr>
        <w:ind w:firstLine="851"/>
        <w:jc w:val="center"/>
        <w:rPr>
          <w:sz w:val="28"/>
          <w:szCs w:val="28"/>
          <w:lang w:val="uk-UA"/>
        </w:rPr>
      </w:pPr>
    </w:p>
    <w:p w:rsidR="00893E37" w:rsidRDefault="0006144C" w:rsidP="00AE6E78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</w:t>
      </w:r>
      <w:r w:rsidR="00B61C92" w:rsidRPr="00B61C92">
        <w:rPr>
          <w:sz w:val="26"/>
          <w:szCs w:val="26"/>
        </w:rPr>
        <w:t>1</w:t>
      </w:r>
      <w:r w:rsidR="00B61C92">
        <w:rPr>
          <w:sz w:val="26"/>
          <w:szCs w:val="26"/>
          <w:lang w:val="uk-UA"/>
        </w:rPr>
        <w:t>.</w:t>
      </w:r>
      <w:r w:rsidR="00B61C92" w:rsidRPr="00A54EDE">
        <w:rPr>
          <w:sz w:val="26"/>
          <w:szCs w:val="26"/>
        </w:rPr>
        <w:t>03</w:t>
      </w:r>
      <w:r w:rsidR="00B61C92">
        <w:rPr>
          <w:sz w:val="26"/>
          <w:szCs w:val="26"/>
          <w:lang w:val="uk-UA"/>
        </w:rPr>
        <w:t>.201</w:t>
      </w:r>
      <w:r w:rsidR="00B61C92" w:rsidRPr="00A54EDE">
        <w:rPr>
          <w:sz w:val="26"/>
          <w:szCs w:val="26"/>
        </w:rPr>
        <w:t>8</w:t>
      </w:r>
      <w:r w:rsidR="00893E37">
        <w:rPr>
          <w:sz w:val="26"/>
          <w:szCs w:val="26"/>
          <w:lang w:val="uk-UA"/>
        </w:rPr>
        <w:t xml:space="preserve"> р.                                                                                                  </w:t>
      </w:r>
      <w:r w:rsidR="00AE6E78">
        <w:rPr>
          <w:sz w:val="26"/>
          <w:szCs w:val="26"/>
          <w:lang w:val="uk-UA"/>
        </w:rPr>
        <w:t xml:space="preserve">     </w:t>
      </w:r>
      <w:r w:rsidR="00893E37">
        <w:rPr>
          <w:sz w:val="26"/>
          <w:szCs w:val="26"/>
          <w:lang w:val="uk-UA"/>
        </w:rPr>
        <w:t xml:space="preserve">    </w:t>
      </w:r>
      <w:r w:rsidR="00893E37" w:rsidRPr="009120AF">
        <w:rPr>
          <w:sz w:val="26"/>
          <w:szCs w:val="26"/>
          <w:lang w:val="uk-UA"/>
        </w:rPr>
        <w:t>Черкаси</w:t>
      </w:r>
    </w:p>
    <w:p w:rsidR="00893E37" w:rsidRDefault="00893E37" w:rsidP="00AE6E78">
      <w:pPr>
        <w:ind w:left="-284" w:firstLine="851"/>
        <w:jc w:val="both"/>
        <w:rPr>
          <w:sz w:val="28"/>
          <w:szCs w:val="28"/>
          <w:lang w:val="uk-UA"/>
        </w:rPr>
      </w:pPr>
      <w:r w:rsidRPr="00664DD1">
        <w:rPr>
          <w:sz w:val="28"/>
          <w:szCs w:val="28"/>
          <w:lang w:val="uk-UA"/>
        </w:rPr>
        <w:t xml:space="preserve">Присутні: </w:t>
      </w:r>
    </w:p>
    <w:p w:rsidR="0006144C" w:rsidRPr="0006144C" w:rsidRDefault="0006144C" w:rsidP="00AE6E78">
      <w:pPr>
        <w:ind w:left="-284" w:firstLine="85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Удод Ірина Іванівна – </w:t>
      </w:r>
      <w:r>
        <w:rPr>
          <w:sz w:val="28"/>
          <w:szCs w:val="28"/>
          <w:lang w:val="uk-UA"/>
        </w:rPr>
        <w:t>директор департаменту економіки та розвитку;</w:t>
      </w:r>
    </w:p>
    <w:p w:rsidR="00893E37" w:rsidRDefault="00893E37" w:rsidP="00AE6E78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893E37">
        <w:rPr>
          <w:b/>
          <w:i/>
          <w:snapToGrid w:val="0"/>
          <w:sz w:val="28"/>
          <w:szCs w:val="28"/>
          <w:lang w:val="uk-UA"/>
        </w:rPr>
        <w:t>Богодаєва Леся Вікторівна</w:t>
      </w:r>
      <w:r w:rsidRPr="00893E37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893E37" w:rsidRDefault="00893E37" w:rsidP="0006144C">
      <w:pPr>
        <w:ind w:left="-142" w:firstLine="709"/>
        <w:jc w:val="both"/>
        <w:rPr>
          <w:i/>
          <w:snapToGrid w:val="0"/>
          <w:sz w:val="28"/>
          <w:szCs w:val="28"/>
          <w:lang w:val="uk-UA"/>
        </w:rPr>
      </w:pPr>
      <w:r w:rsidRPr="00893E37">
        <w:rPr>
          <w:b/>
          <w:i/>
          <w:snapToGrid w:val="0"/>
          <w:sz w:val="28"/>
          <w:szCs w:val="28"/>
          <w:lang w:val="uk-UA"/>
        </w:rPr>
        <w:t>Короткошей Леся Іванівна</w:t>
      </w:r>
      <w:r w:rsidRPr="00893E37">
        <w:rPr>
          <w:snapToGrid w:val="0"/>
          <w:sz w:val="28"/>
          <w:szCs w:val="28"/>
          <w:lang w:val="uk-UA"/>
        </w:rPr>
        <w:t>- заступник директора департаменту – начальник управління економічного розвитку департаменту економіки та розвитку</w:t>
      </w:r>
      <w:r w:rsidRPr="00893E37">
        <w:rPr>
          <w:i/>
          <w:snapToGrid w:val="0"/>
          <w:sz w:val="28"/>
          <w:szCs w:val="28"/>
          <w:lang w:val="uk-UA"/>
        </w:rPr>
        <w:t xml:space="preserve">; </w:t>
      </w:r>
    </w:p>
    <w:p w:rsidR="00B61C92" w:rsidRPr="00B61C92" w:rsidRDefault="00B61C92" w:rsidP="0006144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Харенко Тетяна Іванівна </w:t>
      </w:r>
      <w:r>
        <w:rPr>
          <w:i/>
          <w:snapToGrid w:val="0"/>
          <w:sz w:val="28"/>
          <w:szCs w:val="28"/>
          <w:lang w:val="uk-UA"/>
        </w:rPr>
        <w:t xml:space="preserve">– </w:t>
      </w:r>
      <w:r>
        <w:rPr>
          <w:snapToGrid w:val="0"/>
          <w:sz w:val="28"/>
          <w:szCs w:val="28"/>
          <w:lang w:val="uk-UA"/>
        </w:rPr>
        <w:t>заступник директора департаменту фінансової політики;</w:t>
      </w:r>
    </w:p>
    <w:p w:rsidR="0006144C" w:rsidRDefault="0006144C" w:rsidP="00AE6E78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Огородюк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Сергій Петрович – </w:t>
      </w:r>
      <w:r>
        <w:rPr>
          <w:snapToGrid w:val="0"/>
          <w:sz w:val="28"/>
          <w:szCs w:val="28"/>
          <w:lang w:val="uk-UA"/>
        </w:rPr>
        <w:t>член Колегії архітекторів України;</w:t>
      </w:r>
    </w:p>
    <w:p w:rsidR="00AA0309" w:rsidRDefault="00AA0309" w:rsidP="00AE6E78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Сергій Михайлович </w:t>
      </w:r>
      <w:r w:rsidRPr="00AA0309">
        <w:rPr>
          <w:b/>
          <w:i/>
          <w:snapToGrid w:val="0"/>
          <w:sz w:val="28"/>
          <w:szCs w:val="28"/>
          <w:lang w:val="uk-UA"/>
        </w:rPr>
        <w:t>-</w:t>
      </w:r>
      <w:r w:rsidRPr="00AA0309">
        <w:rPr>
          <w:bCs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AA0309">
        <w:rPr>
          <w:snapToGrid w:val="0"/>
          <w:sz w:val="28"/>
          <w:szCs w:val="28"/>
          <w:lang w:val="uk-UA"/>
        </w:rPr>
        <w:t>директор студії дизайну «</w:t>
      </w:r>
      <w:r w:rsidRPr="00AA0309">
        <w:rPr>
          <w:snapToGrid w:val="0"/>
          <w:sz w:val="28"/>
          <w:szCs w:val="28"/>
          <w:lang w:val="en-US"/>
        </w:rPr>
        <w:t>SOLASS</w:t>
      </w:r>
      <w:r w:rsidRPr="00AA0309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  <w:lang w:val="uk-UA"/>
        </w:rPr>
        <w:t>;</w:t>
      </w:r>
    </w:p>
    <w:p w:rsidR="00AA0309" w:rsidRPr="00AA0309" w:rsidRDefault="00AA0309" w:rsidP="00AE6E78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Більда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Андрій Олександрович -</w:t>
      </w:r>
      <w:r>
        <w:rPr>
          <w:snapToGrid w:val="0"/>
          <w:sz w:val="28"/>
          <w:szCs w:val="28"/>
          <w:lang w:val="uk-UA"/>
        </w:rPr>
        <w:t xml:space="preserve"> учасник проекту «Школа мерів».</w:t>
      </w:r>
    </w:p>
    <w:p w:rsidR="00893E37" w:rsidRDefault="00893E37" w:rsidP="00AA0309">
      <w:pPr>
        <w:rPr>
          <w:sz w:val="28"/>
          <w:szCs w:val="28"/>
          <w:lang w:val="uk-UA"/>
        </w:rPr>
      </w:pPr>
    </w:p>
    <w:p w:rsidR="00B826FD" w:rsidRDefault="00B826FD" w:rsidP="00AE6E7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FF6B4B" w:rsidRDefault="00D72ACE" w:rsidP="00FC0D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проекту «Школи мерів»</w:t>
      </w:r>
    </w:p>
    <w:p w:rsidR="00FF6B4B" w:rsidRPr="00FF6B4B" w:rsidRDefault="00FF6B4B" w:rsidP="00FC0DC5">
      <w:pPr>
        <w:ind w:firstLine="709"/>
        <w:jc w:val="both"/>
        <w:rPr>
          <w:sz w:val="28"/>
          <w:szCs w:val="28"/>
          <w:lang w:val="uk-UA"/>
        </w:rPr>
      </w:pPr>
    </w:p>
    <w:p w:rsidR="00893E37" w:rsidRPr="004171B5" w:rsidRDefault="00893E37" w:rsidP="001C481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284" w:firstLine="425"/>
        <w:jc w:val="both"/>
        <w:rPr>
          <w:b/>
          <w:sz w:val="28"/>
          <w:szCs w:val="28"/>
          <w:lang w:val="uk-UA"/>
        </w:rPr>
      </w:pPr>
      <w:r w:rsidRPr="009120AF">
        <w:rPr>
          <w:b/>
          <w:sz w:val="28"/>
          <w:szCs w:val="28"/>
          <w:lang w:val="uk-UA"/>
        </w:rPr>
        <w:t>СЛУХАЛИ:</w:t>
      </w:r>
      <w:r w:rsidRPr="00F353B1">
        <w:rPr>
          <w:i/>
          <w:sz w:val="28"/>
          <w:szCs w:val="28"/>
          <w:lang w:val="uk-UA"/>
        </w:rPr>
        <w:t xml:space="preserve"> </w:t>
      </w:r>
    </w:p>
    <w:p w:rsidR="006163C3" w:rsidRDefault="00490898" w:rsidP="0049089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Харенко Т.І</w:t>
      </w:r>
      <w:r w:rsidR="00FF6B4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яка проінформувала присутніх щодо діяльності німецького товариства міжнародного співробітництва </w:t>
      </w:r>
      <w:r>
        <w:rPr>
          <w:sz w:val="28"/>
          <w:szCs w:val="28"/>
          <w:lang w:val="en-US"/>
        </w:rPr>
        <w:t>GIZ</w:t>
      </w:r>
      <w:r>
        <w:rPr>
          <w:sz w:val="28"/>
          <w:szCs w:val="28"/>
          <w:lang w:val="uk-UA"/>
        </w:rPr>
        <w:t xml:space="preserve">. За результатами доведеної інформації відбулося обговорення пріоритетних напрямків діяльності </w:t>
      </w:r>
      <w:r>
        <w:rPr>
          <w:sz w:val="28"/>
          <w:szCs w:val="28"/>
          <w:lang w:val="en-US"/>
        </w:rPr>
        <w:t>GIZ</w:t>
      </w:r>
      <w:r>
        <w:rPr>
          <w:sz w:val="28"/>
          <w:szCs w:val="28"/>
          <w:lang w:val="uk-UA"/>
        </w:rPr>
        <w:t xml:space="preserve"> та можливості співпраці.</w:t>
      </w:r>
    </w:p>
    <w:p w:rsidR="00884789" w:rsidRDefault="007C1B0D" w:rsidP="0049089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Богодаєву</w:t>
      </w:r>
      <w:proofErr w:type="spellEnd"/>
      <w:r>
        <w:rPr>
          <w:sz w:val="28"/>
          <w:szCs w:val="28"/>
          <w:lang w:val="uk-UA"/>
        </w:rPr>
        <w:t xml:space="preserve"> Л.В. яка озвучила </w:t>
      </w:r>
      <w:r w:rsidR="00884789">
        <w:rPr>
          <w:sz w:val="28"/>
          <w:szCs w:val="28"/>
          <w:lang w:val="uk-UA"/>
        </w:rPr>
        <w:t xml:space="preserve">дві </w:t>
      </w:r>
      <w:r>
        <w:rPr>
          <w:sz w:val="28"/>
          <w:szCs w:val="28"/>
          <w:lang w:val="uk-UA"/>
        </w:rPr>
        <w:t>пропозиції</w:t>
      </w:r>
      <w:r w:rsidR="00884789">
        <w:rPr>
          <w:sz w:val="28"/>
          <w:szCs w:val="28"/>
          <w:lang w:val="uk-UA"/>
        </w:rPr>
        <w:t>, які надійшли до стратегічного комітету, а саме:</w:t>
      </w:r>
      <w:r>
        <w:rPr>
          <w:sz w:val="28"/>
          <w:szCs w:val="28"/>
          <w:lang w:val="uk-UA"/>
        </w:rPr>
        <w:t xml:space="preserve"> </w:t>
      </w:r>
    </w:p>
    <w:p w:rsidR="00490898" w:rsidRDefault="00884789" w:rsidP="0049089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B0D">
        <w:rPr>
          <w:sz w:val="28"/>
          <w:szCs w:val="28"/>
          <w:lang w:val="uk-UA"/>
        </w:rPr>
        <w:t>від депутатського корпусу щодо проведення тендеру на залучення організацій по напрацюванню та розробки стратегії розвитку міста, при цьому зазначивши, що  бюджетом на такі послуги передбачено 250,0 тис. грн.</w:t>
      </w:r>
    </w:p>
    <w:p w:rsidR="00884789" w:rsidRDefault="00884789" w:rsidP="0049089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від школи мерів про готовність долучитися до розробки стратегії міста.</w:t>
      </w:r>
    </w:p>
    <w:p w:rsidR="00884789" w:rsidRDefault="007C1B0D" w:rsidP="00DA5A1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стратегічного комітету перейшли до </w:t>
      </w:r>
      <w:r w:rsidR="00884789">
        <w:rPr>
          <w:sz w:val="28"/>
          <w:szCs w:val="28"/>
          <w:lang w:val="uk-UA"/>
        </w:rPr>
        <w:t xml:space="preserve">розгляду та </w:t>
      </w:r>
      <w:r>
        <w:rPr>
          <w:sz w:val="28"/>
          <w:szCs w:val="28"/>
          <w:lang w:val="uk-UA"/>
        </w:rPr>
        <w:t xml:space="preserve">обговорення </w:t>
      </w:r>
      <w:r w:rsidR="00884789">
        <w:rPr>
          <w:sz w:val="28"/>
          <w:szCs w:val="28"/>
          <w:lang w:val="uk-UA"/>
        </w:rPr>
        <w:t>вищезазначених пропозицій.</w:t>
      </w:r>
      <w:r w:rsidR="00DA5A17">
        <w:rPr>
          <w:sz w:val="28"/>
          <w:szCs w:val="28"/>
          <w:lang w:val="uk-UA"/>
        </w:rPr>
        <w:t xml:space="preserve"> Зокрема Богодаєва Л.І. повідомила про умови проведення тендеру.</w:t>
      </w:r>
    </w:p>
    <w:p w:rsidR="00884789" w:rsidRPr="00490898" w:rsidRDefault="00884789" w:rsidP="0049089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6163C3" w:rsidRPr="006163C3" w:rsidRDefault="006163C3" w:rsidP="006163C3">
      <w:pPr>
        <w:rPr>
          <w:color w:val="000000" w:themeColor="text1"/>
          <w:sz w:val="28"/>
          <w:szCs w:val="28"/>
          <w:lang w:val="uk-UA"/>
        </w:rPr>
      </w:pPr>
    </w:p>
    <w:p w:rsidR="006163C3" w:rsidRPr="006163C3" w:rsidRDefault="006163C3" w:rsidP="006163C3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6163C3">
        <w:rPr>
          <w:color w:val="000000" w:themeColor="text1"/>
          <w:sz w:val="28"/>
          <w:szCs w:val="28"/>
          <w:lang w:val="uk-UA"/>
        </w:rPr>
        <w:t>У Школі Мерів навчаються діючі міські голови, а також місцеві політичні та громадські лідери з міст обласного значення та об’єднаних територіальних громад</w:t>
      </w:r>
      <w:r w:rsidRPr="006163C3">
        <w:rPr>
          <w:color w:val="000000" w:themeColor="text1"/>
          <w:sz w:val="28"/>
          <w:szCs w:val="28"/>
        </w:rPr>
        <w:t> </w:t>
      </w:r>
    </w:p>
    <w:p w:rsidR="000C30F0" w:rsidRDefault="00D72ACE" w:rsidP="000C30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даний проект існує в Україні третій рік. Має за мету - формування стратегічного бачення щодо </w:t>
      </w:r>
      <w:r w:rsidR="000C30F0">
        <w:rPr>
          <w:sz w:val="28"/>
          <w:szCs w:val="28"/>
          <w:lang w:val="uk-UA"/>
        </w:rPr>
        <w:t xml:space="preserve">управління містом. </w:t>
      </w:r>
    </w:p>
    <w:p w:rsidR="00087820" w:rsidRDefault="000C30F0" w:rsidP="0008782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презентував</w:t>
      </w:r>
      <w:r w:rsidR="00864ADF">
        <w:rPr>
          <w:sz w:val="28"/>
          <w:szCs w:val="28"/>
          <w:lang w:val="uk-UA"/>
        </w:rPr>
        <w:t xml:space="preserve"> проект стратег</w:t>
      </w:r>
      <w:r w:rsidR="006163C3">
        <w:rPr>
          <w:sz w:val="28"/>
          <w:szCs w:val="28"/>
          <w:lang w:val="uk-UA"/>
        </w:rPr>
        <w:t xml:space="preserve">ії розвитку міста, розроблений  </w:t>
      </w:r>
      <w:r>
        <w:rPr>
          <w:sz w:val="28"/>
          <w:szCs w:val="28"/>
          <w:lang w:val="uk-UA"/>
        </w:rPr>
        <w:t xml:space="preserve">   </w:t>
      </w:r>
      <w:r w:rsidR="00087820">
        <w:rPr>
          <w:sz w:val="28"/>
          <w:szCs w:val="28"/>
          <w:lang w:val="uk-UA"/>
        </w:rPr>
        <w:t xml:space="preserve"> переглянути та обговорити презентацію проекту «Публічна політика» щодо створення платформи</w:t>
      </w:r>
      <w:r w:rsidR="00087820" w:rsidRPr="00087820">
        <w:rPr>
          <w:sz w:val="28"/>
          <w:szCs w:val="28"/>
          <w:lang w:val="uk-UA"/>
        </w:rPr>
        <w:t xml:space="preserve"> для тісної та конструктивної взаємодії громадських активістів, бізнесу та влади задля спільного формування стратегічного бачення майбутнього міста та подальшої співпраці у розробці та реалізації проектів розвитку міста та регіону.</w:t>
      </w:r>
    </w:p>
    <w:p w:rsidR="00087820" w:rsidRDefault="00087820" w:rsidP="0008782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Після перегляду презентації відбулося обговорення проекту та розгляд питань щодо реалізації заходів Програми розроблення стратегічного плану.</w:t>
      </w:r>
    </w:p>
    <w:p w:rsidR="00760D95" w:rsidRDefault="00087820" w:rsidP="00B1443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14430">
        <w:rPr>
          <w:sz w:val="28"/>
          <w:szCs w:val="28"/>
          <w:lang w:val="uk-UA"/>
        </w:rPr>
        <w:t>о закінченню обговорення відбуло</w:t>
      </w:r>
      <w:r w:rsidR="00760D95">
        <w:rPr>
          <w:sz w:val="28"/>
          <w:szCs w:val="28"/>
          <w:lang w:val="uk-UA"/>
        </w:rPr>
        <w:t>ся підбиття підсумків та визначення основних кроків</w:t>
      </w:r>
      <w:r w:rsidR="00B14430">
        <w:rPr>
          <w:sz w:val="28"/>
          <w:szCs w:val="28"/>
          <w:lang w:val="uk-UA"/>
        </w:rPr>
        <w:t xml:space="preserve"> </w:t>
      </w:r>
      <w:r w:rsidR="00760D95">
        <w:rPr>
          <w:sz w:val="28"/>
          <w:szCs w:val="28"/>
          <w:lang w:val="uk-UA"/>
        </w:rPr>
        <w:t>розвитку стратегії.</w:t>
      </w:r>
    </w:p>
    <w:p w:rsidR="001C481F" w:rsidRDefault="001C481F" w:rsidP="00B1443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1C481F">
        <w:rPr>
          <w:b/>
          <w:sz w:val="28"/>
          <w:szCs w:val="28"/>
          <w:lang w:val="uk-UA"/>
        </w:rPr>
        <w:t>ВИРІШИЛИ</w:t>
      </w:r>
      <w:r>
        <w:rPr>
          <w:b/>
          <w:sz w:val="28"/>
          <w:szCs w:val="28"/>
          <w:lang w:val="uk-UA"/>
        </w:rPr>
        <w:t>:</w:t>
      </w:r>
    </w:p>
    <w:p w:rsidR="00760D95" w:rsidRDefault="00760D95" w:rsidP="00750BE8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співпрацю стратегічного комітету з ГО «Нова країна».</w:t>
      </w:r>
    </w:p>
    <w:p w:rsidR="00760D95" w:rsidRDefault="00760D95" w:rsidP="00750BE8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зустріч з учасниками Стратегічної сесії міста</w:t>
      </w:r>
      <w:r w:rsidR="00750BE8">
        <w:rPr>
          <w:sz w:val="28"/>
          <w:szCs w:val="28"/>
          <w:lang w:val="uk-UA"/>
        </w:rPr>
        <w:t>, які записались для участі у роботі щодо розробки стратегічного плану розвитку міста.</w:t>
      </w:r>
    </w:p>
    <w:p w:rsidR="00750BE8" w:rsidRDefault="00750BE8" w:rsidP="00750BE8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кроки реалізації заходів Програми розроблення стратегічного плану мі</w:t>
      </w:r>
      <w:r w:rsidR="004C1DA9">
        <w:rPr>
          <w:sz w:val="28"/>
          <w:szCs w:val="28"/>
          <w:lang w:val="uk-UA"/>
        </w:rPr>
        <w:t>ста за результатами проведеної Ст</w:t>
      </w:r>
      <w:r>
        <w:rPr>
          <w:sz w:val="28"/>
          <w:szCs w:val="28"/>
          <w:lang w:val="uk-UA"/>
        </w:rPr>
        <w:t xml:space="preserve">ратегічної сесії </w:t>
      </w:r>
      <w:r w:rsidR="004C1DA9">
        <w:rPr>
          <w:sz w:val="28"/>
          <w:szCs w:val="28"/>
          <w:lang w:val="uk-UA"/>
        </w:rPr>
        <w:t>23.09.2017 року, а саме: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2262"/>
      </w:tblGrid>
      <w:tr w:rsidR="004C1DA9" w:rsidTr="004C1DA9">
        <w:tc>
          <w:tcPr>
            <w:tcW w:w="4248" w:type="dxa"/>
          </w:tcPr>
          <w:p w:rsidR="004C1DA9" w:rsidRDefault="004C1DA9" w:rsidP="004C1DA9">
            <w:pPr>
              <w:tabs>
                <w:tab w:val="left" w:pos="709"/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402" w:type="dxa"/>
          </w:tcPr>
          <w:p w:rsidR="004C1DA9" w:rsidRDefault="004C1DA9" w:rsidP="004C1DA9">
            <w:pPr>
              <w:tabs>
                <w:tab w:val="left" w:pos="709"/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262" w:type="dxa"/>
          </w:tcPr>
          <w:p w:rsidR="004C1DA9" w:rsidRDefault="004C1DA9" w:rsidP="004C1DA9">
            <w:pPr>
              <w:tabs>
                <w:tab w:val="left" w:pos="709"/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</w:t>
            </w:r>
          </w:p>
        </w:tc>
      </w:tr>
      <w:tr w:rsidR="004C1DA9" w:rsidTr="004C1DA9">
        <w:tc>
          <w:tcPr>
            <w:tcW w:w="4248" w:type="dxa"/>
          </w:tcPr>
          <w:p w:rsidR="004C1DA9" w:rsidRDefault="004C1DA9" w:rsidP="004C1DA9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результатами проведеної стратегічної сесії підготувати звіт та презентацію спільно з представниками ГО «Нова Країна» презентацію </w:t>
            </w:r>
          </w:p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економіки та розвитку, ГО «Нова Країна»</w:t>
            </w:r>
          </w:p>
        </w:tc>
        <w:tc>
          <w:tcPr>
            <w:tcW w:w="2262" w:type="dxa"/>
          </w:tcPr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днів</w:t>
            </w:r>
          </w:p>
        </w:tc>
      </w:tr>
      <w:tr w:rsidR="004C1DA9" w:rsidTr="004C1DA9">
        <w:tc>
          <w:tcPr>
            <w:tcW w:w="4248" w:type="dxa"/>
          </w:tcPr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Провести соціологічне опитування, укласти угоду </w:t>
            </w:r>
            <w:r w:rsidR="005F71E7">
              <w:rPr>
                <w:sz w:val="28"/>
                <w:szCs w:val="28"/>
                <w:lang w:val="uk-UA"/>
              </w:rPr>
              <w:t xml:space="preserve">з організацією </w:t>
            </w:r>
          </w:p>
        </w:tc>
        <w:tc>
          <w:tcPr>
            <w:tcW w:w="3402" w:type="dxa"/>
          </w:tcPr>
          <w:p w:rsidR="004C1DA9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економіки та розвитку, відповідна організація</w:t>
            </w:r>
          </w:p>
        </w:tc>
        <w:tc>
          <w:tcPr>
            <w:tcW w:w="2262" w:type="dxa"/>
          </w:tcPr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</w:tc>
      </w:tr>
      <w:tr w:rsidR="004C1DA9" w:rsidTr="004C1DA9">
        <w:tc>
          <w:tcPr>
            <w:tcW w:w="4248" w:type="dxa"/>
          </w:tcPr>
          <w:p w:rsidR="004C1DA9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Затвердити анкету</w:t>
            </w:r>
          </w:p>
        </w:tc>
        <w:tc>
          <w:tcPr>
            <w:tcW w:w="3402" w:type="dxa"/>
          </w:tcPr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4C1DA9" w:rsidRDefault="004C1DA9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</w:tc>
      </w:tr>
      <w:tr w:rsidR="004C1DA9" w:rsidTr="004C1DA9">
        <w:tc>
          <w:tcPr>
            <w:tcW w:w="4248" w:type="dxa"/>
          </w:tcPr>
          <w:p w:rsidR="004C1DA9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визначенням профілю міста:</w:t>
            </w:r>
          </w:p>
          <w:p w:rsidR="005F71E7" w:rsidRPr="005F71E7" w:rsidRDefault="005F71E7" w:rsidP="005F71E7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початок роботи робочих груп;</w:t>
            </w:r>
          </w:p>
          <w:p w:rsidR="005F71E7" w:rsidRDefault="005F71E7" w:rsidP="005F71E7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сценарій розвитку;</w:t>
            </w:r>
          </w:p>
          <w:p w:rsidR="005F71E7" w:rsidRPr="005F71E7" w:rsidRDefault="005F71E7" w:rsidP="005F71E7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зустріч з робочими групами для здійснення </w:t>
            </w:r>
            <w:proofErr w:type="spellStart"/>
            <w:r>
              <w:rPr>
                <w:sz w:val="28"/>
                <w:szCs w:val="28"/>
                <w:lang w:val="uk-UA"/>
              </w:rPr>
              <w:t>свод</w:t>
            </w:r>
            <w:proofErr w:type="spellEnd"/>
            <w:r>
              <w:rPr>
                <w:sz w:val="28"/>
                <w:szCs w:val="28"/>
                <w:lang w:val="uk-UA"/>
              </w:rPr>
              <w:t>-аналізу;</w:t>
            </w:r>
          </w:p>
        </w:tc>
        <w:tc>
          <w:tcPr>
            <w:tcW w:w="3402" w:type="dxa"/>
          </w:tcPr>
          <w:p w:rsidR="004C1DA9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Стратегічний комітет</w:t>
            </w:r>
          </w:p>
        </w:tc>
        <w:tc>
          <w:tcPr>
            <w:tcW w:w="2262" w:type="dxa"/>
          </w:tcPr>
          <w:p w:rsidR="004C1DA9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днів</w:t>
            </w:r>
          </w:p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січня 2017</w:t>
            </w:r>
          </w:p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 лютого</w:t>
            </w:r>
          </w:p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листопада</w:t>
            </w:r>
          </w:p>
        </w:tc>
      </w:tr>
      <w:tr w:rsidR="005F71E7" w:rsidTr="004C1DA9">
        <w:tc>
          <w:tcPr>
            <w:tcW w:w="4248" w:type="dxa"/>
          </w:tcPr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Остаточний </w:t>
            </w:r>
            <w:proofErr w:type="spellStart"/>
            <w:r>
              <w:rPr>
                <w:sz w:val="28"/>
                <w:szCs w:val="28"/>
                <w:lang w:val="uk-UA"/>
              </w:rPr>
              <w:t>свод</w:t>
            </w:r>
            <w:proofErr w:type="spellEnd"/>
            <w:r>
              <w:rPr>
                <w:sz w:val="28"/>
                <w:szCs w:val="28"/>
                <w:lang w:val="uk-UA"/>
              </w:rPr>
              <w:t>-аналіз</w:t>
            </w:r>
          </w:p>
        </w:tc>
        <w:tc>
          <w:tcPr>
            <w:tcW w:w="3402" w:type="dxa"/>
          </w:tcPr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Стратегічний комітет</w:t>
            </w:r>
          </w:p>
        </w:tc>
        <w:tc>
          <w:tcPr>
            <w:tcW w:w="2262" w:type="dxa"/>
          </w:tcPr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2018 р.</w:t>
            </w:r>
          </w:p>
        </w:tc>
      </w:tr>
      <w:tr w:rsidR="005F71E7" w:rsidTr="004C1DA9">
        <w:tc>
          <w:tcPr>
            <w:tcW w:w="4248" w:type="dxa"/>
          </w:tcPr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першу стратегічну сесію по формуванню візії міста</w:t>
            </w:r>
          </w:p>
        </w:tc>
        <w:tc>
          <w:tcPr>
            <w:tcW w:w="3402" w:type="dxa"/>
          </w:tcPr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Стратегічний комітет</w:t>
            </w:r>
          </w:p>
        </w:tc>
        <w:tc>
          <w:tcPr>
            <w:tcW w:w="2262" w:type="dxa"/>
          </w:tcPr>
          <w:p w:rsidR="005F71E7" w:rsidRDefault="005F71E7" w:rsidP="004C1DA9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4C1DA9" w:rsidRPr="004C1DA9" w:rsidRDefault="004C1DA9" w:rsidP="004C1DA9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</w:p>
    <w:p w:rsidR="004C1DA9" w:rsidRPr="00760D95" w:rsidRDefault="004C1DA9" w:rsidP="005F71E7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60D95" w:rsidRPr="00760D95" w:rsidRDefault="00760D95" w:rsidP="00750BE8">
      <w:pPr>
        <w:pStyle w:val="a3"/>
        <w:tabs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</w:p>
    <w:p w:rsidR="001C481F" w:rsidRDefault="001C481F" w:rsidP="005D6C04">
      <w:pPr>
        <w:jc w:val="both"/>
        <w:rPr>
          <w:b/>
          <w:sz w:val="28"/>
          <w:szCs w:val="28"/>
          <w:lang w:val="uk-UA"/>
        </w:rPr>
      </w:pPr>
    </w:p>
    <w:p w:rsidR="005D6C04" w:rsidRPr="005D6C04" w:rsidRDefault="005D6C04" w:rsidP="005D6C04">
      <w:pPr>
        <w:jc w:val="both"/>
        <w:rPr>
          <w:sz w:val="28"/>
          <w:szCs w:val="28"/>
          <w:lang w:val="uk-UA"/>
        </w:rPr>
      </w:pPr>
    </w:p>
    <w:p w:rsidR="005D6C04" w:rsidRPr="005D6C04" w:rsidRDefault="005D6C04" w:rsidP="005D6C04">
      <w:pPr>
        <w:jc w:val="both"/>
        <w:rPr>
          <w:lang w:val="uk-UA"/>
        </w:rPr>
      </w:pPr>
      <w:r w:rsidRPr="005D6C04">
        <w:rPr>
          <w:lang w:val="uk-UA"/>
        </w:rPr>
        <w:t>Записала Герасименко</w:t>
      </w:r>
    </w:p>
    <w:sectPr w:rsidR="005D6C04" w:rsidRPr="005D6C04" w:rsidSect="005D6C04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7BF4"/>
    <w:multiLevelType w:val="hybridMultilevel"/>
    <w:tmpl w:val="5512F6EC"/>
    <w:lvl w:ilvl="0" w:tplc="23945C6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0F3"/>
    <w:multiLevelType w:val="hybridMultilevel"/>
    <w:tmpl w:val="BCD6D41C"/>
    <w:lvl w:ilvl="0" w:tplc="E4E6EB8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60E70CA"/>
    <w:multiLevelType w:val="hybridMultilevel"/>
    <w:tmpl w:val="52FC1B92"/>
    <w:lvl w:ilvl="0" w:tplc="96C481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67515"/>
    <w:multiLevelType w:val="hybridMultilevel"/>
    <w:tmpl w:val="E0244506"/>
    <w:lvl w:ilvl="0" w:tplc="759A1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C046F"/>
    <w:multiLevelType w:val="hybridMultilevel"/>
    <w:tmpl w:val="7028498E"/>
    <w:lvl w:ilvl="0" w:tplc="A498C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97C9B"/>
    <w:multiLevelType w:val="hybridMultilevel"/>
    <w:tmpl w:val="2A9269FC"/>
    <w:lvl w:ilvl="0" w:tplc="246453CC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5FD00BE1"/>
    <w:multiLevelType w:val="hybridMultilevel"/>
    <w:tmpl w:val="5066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37"/>
    <w:rsid w:val="0006144C"/>
    <w:rsid w:val="00087820"/>
    <w:rsid w:val="000C30F0"/>
    <w:rsid w:val="000E59C5"/>
    <w:rsid w:val="001C481F"/>
    <w:rsid w:val="003C216F"/>
    <w:rsid w:val="004029B3"/>
    <w:rsid w:val="004171B5"/>
    <w:rsid w:val="00490898"/>
    <w:rsid w:val="004C1DA9"/>
    <w:rsid w:val="005D6C04"/>
    <w:rsid w:val="005F71E7"/>
    <w:rsid w:val="006163C3"/>
    <w:rsid w:val="00686AD5"/>
    <w:rsid w:val="00696B3D"/>
    <w:rsid w:val="00750BE8"/>
    <w:rsid w:val="00760D95"/>
    <w:rsid w:val="00784FC4"/>
    <w:rsid w:val="007C1B0D"/>
    <w:rsid w:val="00834CAC"/>
    <w:rsid w:val="0085157F"/>
    <w:rsid w:val="00864ADF"/>
    <w:rsid w:val="00884789"/>
    <w:rsid w:val="00893E37"/>
    <w:rsid w:val="00A54EDE"/>
    <w:rsid w:val="00AA0309"/>
    <w:rsid w:val="00AE6E78"/>
    <w:rsid w:val="00AF7DA4"/>
    <w:rsid w:val="00B14430"/>
    <w:rsid w:val="00B61C92"/>
    <w:rsid w:val="00B826FD"/>
    <w:rsid w:val="00C34343"/>
    <w:rsid w:val="00C90F49"/>
    <w:rsid w:val="00D72ACE"/>
    <w:rsid w:val="00DA5A17"/>
    <w:rsid w:val="00E16B8C"/>
    <w:rsid w:val="00FC0DC5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3FAC-D88B-4949-9624-BB3E7CF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A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D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C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61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k522-kozhoma</dc:creator>
  <cp:keywords/>
  <dc:description/>
  <cp:lastModifiedBy>Admin</cp:lastModifiedBy>
  <cp:revision>9</cp:revision>
  <cp:lastPrinted>2017-11-08T10:07:00Z</cp:lastPrinted>
  <dcterms:created xsi:type="dcterms:W3CDTF">2016-11-11T08:50:00Z</dcterms:created>
  <dcterms:modified xsi:type="dcterms:W3CDTF">2018-07-02T06:52:00Z</dcterms:modified>
</cp:coreProperties>
</file>